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SPA Online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PA" w:history="1">
        <w:bookmarkStart w:id="0" w:name="opus_41719"/>
        <w:r>
          <w:rPr>
            <w:color w:val="BD2826"/>
            <w:bdr w:val="none" w:sz="0" w:space="0" w:color="auto"/>
            <w:lang w:val="de" w:eastAsia="de"/>
          </w:rPr>
          <w:t>SPA – Schnellinformation für Personalmanagement und Arbeitsrecht, ab 2012</w:t>
        </w:r>
      </w:hyperlink>
      <w:bookmarkEnd w:id="0"/>
      <w:hyperlink r:id="rId6" w:anchor="opus_detail_41719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TARBR" w:history="1">
        <w:bookmarkStart w:id="1" w:name="opus_41741"/>
        <w:r>
          <w:rPr>
            <w:color w:val="BD2826"/>
            <w:bdr w:val="none" w:sz="0" w:space="0" w:color="auto"/>
            <w:lang w:val="de" w:eastAsia="de"/>
          </w:rPr>
          <w:t>Normen zum Arbeitsrecht</w:t>
        </w:r>
      </w:hyperlink>
      <w:bookmarkEnd w:id="1"/>
      <w:hyperlink r:id="rId6" w:anchor="opus_detail_41741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645?opusTitle=SPA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41741?cat=coll&amp;xml=gesetze%2Ffach&amp;coll=Texte zum Arbeitsrecht&amp;opusTitle=TARBR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SPA Online - beck-online</dc:title>
  <cp:revision>0</cp:revision>
</cp:coreProperties>
</file>